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5742" w14:textId="77777777" w:rsidR="00DD0D46" w:rsidRPr="00AA7777" w:rsidRDefault="00DD0D46">
      <w:pPr>
        <w:rPr>
          <w:sz w:val="40"/>
        </w:rPr>
      </w:pPr>
      <w:r w:rsidRPr="00AA7777">
        <w:rPr>
          <w:noProof/>
          <w:sz w:val="40"/>
          <w:lang w:eastAsia="en-GB"/>
        </w:rPr>
        <w:drawing>
          <wp:anchor distT="0" distB="0" distL="114300" distR="114300" simplePos="0" relativeHeight="251666432" behindDoc="1" locked="0" layoutInCell="1" allowOverlap="1" wp14:anchorId="0398481B" wp14:editId="368F0A5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57220" cy="2951480"/>
            <wp:effectExtent l="38100" t="38100" r="43180" b="39370"/>
            <wp:wrapSquare wrapText="bothSides"/>
            <wp:docPr id="5" name="Picture 5" descr="altar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arpie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5" t="2336" r="20439" b="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295148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777">
        <w:rPr>
          <w:sz w:val="40"/>
        </w:rPr>
        <w:t>Who may assist with the distribution of Holy Communion?</w:t>
      </w:r>
    </w:p>
    <w:p w14:paraId="60747762" w14:textId="77777777" w:rsidR="00DD0D46" w:rsidRDefault="00DD0D46"/>
    <w:p w14:paraId="6F14E6E8" w14:textId="77777777" w:rsidR="00DD0D46" w:rsidRDefault="00DD0D46"/>
    <w:p w14:paraId="0FEB393C" w14:textId="77777777" w:rsidR="00DD0D46" w:rsidRDefault="00DD0D46"/>
    <w:p w14:paraId="4DFF7C73" w14:textId="77777777" w:rsidR="00DD0D46" w:rsidRDefault="00DD0D46"/>
    <w:p w14:paraId="5D5636D2" w14:textId="77777777" w:rsidR="00DD0D46" w:rsidRDefault="00DD0D46"/>
    <w:p w14:paraId="4F81F778" w14:textId="77777777" w:rsidR="00DD0D46" w:rsidRDefault="00DD0D46"/>
    <w:p w14:paraId="47FFA6FC" w14:textId="77777777" w:rsidR="00DD0D46" w:rsidRDefault="00DD0D46"/>
    <w:p w14:paraId="35B5FD12" w14:textId="77777777" w:rsidR="00AA7777" w:rsidRDefault="00166FAD">
      <w:r w:rsidRPr="00166FAD">
        <w:t>In many parishes, named lay people assist with the distribution of Communion, either at the communion rail, or in some cases by taking Communion to people in their homes.</w:t>
      </w:r>
      <w:r>
        <w:t xml:space="preserve"> </w:t>
      </w:r>
      <w:r w:rsidR="00AA7777">
        <w:t>This is sometimes known as ‘Chalice and Paten permission’ or simply ‘Assisting with Communion</w:t>
      </w:r>
      <w:r w:rsidR="002259A9">
        <w:t>’</w:t>
      </w:r>
      <w:r w:rsidR="00AA7777">
        <w:t>. In some parishes those authorised are called Eucharistic Ministers or Assistants.</w:t>
      </w:r>
    </w:p>
    <w:p w14:paraId="21BA681E" w14:textId="77777777" w:rsidR="00AA7777" w:rsidRDefault="00AA7777"/>
    <w:p w14:paraId="073912CE" w14:textId="77777777" w:rsidR="00166FAD" w:rsidRDefault="00166FAD">
      <w:r>
        <w:t xml:space="preserve">The regulations under which this is permitted </w:t>
      </w:r>
      <w:r w:rsidR="00AA7777">
        <w:t xml:space="preserve">were </w:t>
      </w:r>
      <w:r>
        <w:t>change</w:t>
      </w:r>
      <w:r w:rsidR="00A81B71">
        <w:t xml:space="preserve">d </w:t>
      </w:r>
      <w:r w:rsidR="00AA7777">
        <w:t xml:space="preserve">in 2015 </w:t>
      </w:r>
      <w:r w:rsidR="00A81B71">
        <w:t>by General Synod and new ones are now in force</w:t>
      </w:r>
      <w:r>
        <w:t>.</w:t>
      </w:r>
      <w:r w:rsidR="00DD0D46">
        <w:t xml:space="preserve"> There are two main changes:</w:t>
      </w:r>
    </w:p>
    <w:p w14:paraId="33931C63" w14:textId="77777777" w:rsidR="00DD0D46" w:rsidRDefault="00DD0D46" w:rsidP="00AA7777">
      <w:pPr>
        <w:pStyle w:val="ListParagraph"/>
        <w:numPr>
          <w:ilvl w:val="0"/>
          <w:numId w:val="22"/>
        </w:numPr>
      </w:pPr>
      <w:r>
        <w:t>in some circumstances, children may now assist in distributing the Sacrament</w:t>
      </w:r>
    </w:p>
    <w:p w14:paraId="2DB4DA9B" w14:textId="77777777" w:rsidR="00DD0D46" w:rsidRDefault="0085570C" w:rsidP="00AA7777">
      <w:pPr>
        <w:pStyle w:val="ListParagraph"/>
        <w:numPr>
          <w:ilvl w:val="0"/>
          <w:numId w:val="22"/>
        </w:numPr>
      </w:pPr>
      <w:r>
        <w:t>authorisation</w:t>
      </w:r>
      <w:r w:rsidR="00DD0D46">
        <w:t xml:space="preserve"> can now be devolved to the parish or benefice, without the need for the </w:t>
      </w:r>
      <w:proofErr w:type="gramStart"/>
      <w:r w:rsidR="00DD0D46">
        <w:t>Bishop’s</w:t>
      </w:r>
      <w:proofErr w:type="gramEnd"/>
      <w:r w:rsidR="00DD0D46">
        <w:t xml:space="preserve"> direct involvement.</w:t>
      </w:r>
    </w:p>
    <w:p w14:paraId="0E334195" w14:textId="77777777" w:rsidR="00AA7777" w:rsidRDefault="00AA7777"/>
    <w:p w14:paraId="5F67995D" w14:textId="77777777" w:rsidR="00DD0D46" w:rsidRDefault="00166FAD">
      <w:r>
        <w:t>This paper sets out the changes</w:t>
      </w:r>
      <w:r w:rsidR="00DD0D46">
        <w:t xml:space="preserve"> and what parishes </w:t>
      </w:r>
      <w:r w:rsidR="0085570C">
        <w:t>need</w:t>
      </w:r>
      <w:r w:rsidR="00DD0D46">
        <w:t xml:space="preserve"> to do if they wish to take advantage of the new regulations. It covers</w:t>
      </w:r>
      <w:r w:rsidR="00AA7777">
        <w:t>:</w:t>
      </w:r>
    </w:p>
    <w:p w14:paraId="24737362" w14:textId="77777777" w:rsidR="00DD0D46" w:rsidRDefault="0085570C" w:rsidP="00AA7777">
      <w:pPr>
        <w:pStyle w:val="ListParagraph"/>
        <w:numPr>
          <w:ilvl w:val="0"/>
          <w:numId w:val="23"/>
        </w:numPr>
      </w:pPr>
      <w:r>
        <w:t>selecting persons to assist</w:t>
      </w:r>
    </w:p>
    <w:p w14:paraId="7C1E2DF8" w14:textId="77777777" w:rsidR="00DD0D46" w:rsidRDefault="0085570C" w:rsidP="00AA7777">
      <w:pPr>
        <w:pStyle w:val="ListParagraph"/>
        <w:numPr>
          <w:ilvl w:val="0"/>
          <w:numId w:val="23"/>
        </w:numPr>
      </w:pPr>
      <w:r>
        <w:t>the PCC’s role</w:t>
      </w:r>
    </w:p>
    <w:p w14:paraId="2CD68C37" w14:textId="77777777" w:rsidR="00DD0D46" w:rsidRDefault="0085570C" w:rsidP="00AA7777">
      <w:pPr>
        <w:pStyle w:val="ListParagraph"/>
        <w:numPr>
          <w:ilvl w:val="0"/>
          <w:numId w:val="23"/>
        </w:numPr>
      </w:pPr>
      <w:r>
        <w:t>involving children</w:t>
      </w:r>
    </w:p>
    <w:p w14:paraId="3DCDDD0B" w14:textId="77777777" w:rsidR="00166FAD" w:rsidRDefault="0085570C" w:rsidP="00AA7777">
      <w:pPr>
        <w:pStyle w:val="ListParagraph"/>
        <w:numPr>
          <w:ilvl w:val="0"/>
          <w:numId w:val="23"/>
        </w:numPr>
      </w:pPr>
      <w:r>
        <w:t>record-keeping</w:t>
      </w:r>
    </w:p>
    <w:p w14:paraId="1DA5B847" w14:textId="77777777" w:rsidR="0085570C" w:rsidRPr="00166FAD" w:rsidRDefault="0085570C" w:rsidP="00AA7777">
      <w:pPr>
        <w:pStyle w:val="ListParagraph"/>
        <w:numPr>
          <w:ilvl w:val="0"/>
          <w:numId w:val="23"/>
        </w:numPr>
      </w:pPr>
      <w:r>
        <w:t>what a parish needs to do now</w:t>
      </w:r>
    </w:p>
    <w:p w14:paraId="799B47FE" w14:textId="77777777" w:rsidR="00F265EE" w:rsidRDefault="00F265EE" w:rsidP="00A81B71">
      <w:pPr>
        <w:pStyle w:val="NoSpacing"/>
        <w:rPr>
          <w:rFonts w:ascii="Franklin Gothic Book" w:hAnsi="Franklin Gothic Book"/>
          <w:sz w:val="24"/>
          <w:szCs w:val="24"/>
        </w:rPr>
      </w:pPr>
    </w:p>
    <w:p w14:paraId="5525D10F" w14:textId="77777777" w:rsidR="00F265EE" w:rsidRDefault="00F265EE" w:rsidP="00A81B71">
      <w:pPr>
        <w:pStyle w:val="NoSpacing"/>
        <w:rPr>
          <w:rFonts w:ascii="Franklin Gothic Book" w:hAnsi="Franklin Gothic Book"/>
          <w:sz w:val="24"/>
          <w:szCs w:val="24"/>
        </w:rPr>
      </w:pPr>
    </w:p>
    <w:p w14:paraId="26D21AF8" w14:textId="77777777" w:rsidR="00166FAD" w:rsidRPr="00166FAD" w:rsidRDefault="00166FAD">
      <w:r w:rsidRPr="00166FAD">
        <w:br w:type="page"/>
      </w:r>
    </w:p>
    <w:p w14:paraId="656172DC" w14:textId="77777777" w:rsidR="007E5036" w:rsidRDefault="009C2AC5">
      <w:r>
        <w:rPr>
          <w:b/>
        </w:rPr>
        <w:t>INTRODUCTION</w:t>
      </w:r>
    </w:p>
    <w:p w14:paraId="668048CC" w14:textId="77777777" w:rsidR="00A93C37" w:rsidRDefault="007E5036" w:rsidP="00A81B71">
      <w:r w:rsidRPr="00A81B71">
        <w:t xml:space="preserve">The </w:t>
      </w:r>
      <w:r w:rsidR="00A81B71" w:rsidRPr="00A81B71">
        <w:t>previous</w:t>
      </w:r>
      <w:r w:rsidRPr="00A81B71">
        <w:t xml:space="preserve"> Regulations under Canon B.12 require</w:t>
      </w:r>
      <w:r w:rsidR="00A81B71" w:rsidRPr="00A81B71">
        <w:t>d</w:t>
      </w:r>
      <w:r w:rsidRPr="00A81B71">
        <w:t xml:space="preserve"> the incumbent and churchwardens to apply to the </w:t>
      </w:r>
      <w:r w:rsidR="006C1588">
        <w:t xml:space="preserve">Suffragan </w:t>
      </w:r>
      <w:r w:rsidRPr="00A81B71">
        <w:t xml:space="preserve">Bishop in writing, giving the </w:t>
      </w:r>
      <w:r w:rsidR="00A81B71" w:rsidRPr="00A81B71">
        <w:t xml:space="preserve">names and particulars </w:t>
      </w:r>
      <w:r w:rsidRPr="00A81B71">
        <w:t>of the persons to whom the application relates.</w:t>
      </w:r>
      <w:r w:rsidR="006C1588">
        <w:t xml:space="preserve">  </w:t>
      </w:r>
      <w:r>
        <w:t xml:space="preserve">In practice, in this diocese, </w:t>
      </w:r>
      <w:r w:rsidR="00A81B71">
        <w:t>the Bishop required</w:t>
      </w:r>
      <w:r>
        <w:t xml:space="preserve"> the incumbent to indicate that </w:t>
      </w:r>
      <w:r w:rsidRPr="00067D2A">
        <w:t>the PCC</w:t>
      </w:r>
      <w:r>
        <w:t xml:space="preserve"> supported the names being brought forward. </w:t>
      </w:r>
      <w:r w:rsidR="006C1588">
        <w:t xml:space="preserve"> </w:t>
      </w:r>
      <w:r w:rsidR="00A81B71">
        <w:t>The Bishop’s Office maintained</w:t>
      </w:r>
      <w:r w:rsidR="00A93C37">
        <w:t xml:space="preserve"> a spreadsheet recording the names authorised by the Bishop for every parish.</w:t>
      </w:r>
    </w:p>
    <w:p w14:paraId="6275A302" w14:textId="77777777" w:rsidR="00067D2A" w:rsidRDefault="00067D2A" w:rsidP="007E5036">
      <w:pPr>
        <w:rPr>
          <w:b/>
        </w:rPr>
      </w:pPr>
    </w:p>
    <w:p w14:paraId="55FB68F4" w14:textId="77777777" w:rsidR="007E5036" w:rsidRDefault="00A93C37" w:rsidP="007E5036">
      <w:pPr>
        <w:rPr>
          <w:b/>
        </w:rPr>
      </w:pPr>
      <w:r w:rsidRPr="00E870FF">
        <w:rPr>
          <w:b/>
        </w:rPr>
        <w:t xml:space="preserve">THE NEW REGULATIONS </w:t>
      </w:r>
    </w:p>
    <w:p w14:paraId="28F641B1" w14:textId="77777777" w:rsidR="00067D2A" w:rsidRPr="00067D2A" w:rsidRDefault="00067D2A" w:rsidP="007E5036">
      <w:pPr>
        <w:rPr>
          <w:b/>
        </w:rPr>
      </w:pPr>
      <w:r>
        <w:t>T</w:t>
      </w:r>
      <w:r w:rsidRPr="00067D2A">
        <w:t>he Administration of Communion Regulations</w:t>
      </w:r>
      <w:r>
        <w:t xml:space="preserve"> 2015 are now in force. The full documentation is available by searching online for ‘</w:t>
      </w:r>
      <w:hyperlink r:id="rId9" w:history="1">
        <w:r w:rsidRPr="00AA7777">
          <w:rPr>
            <w:rStyle w:val="Hyperlink"/>
          </w:rPr>
          <w:t>GS1992</w:t>
        </w:r>
      </w:hyperlink>
      <w:r>
        <w:t>’ and ‘</w:t>
      </w:r>
      <w:hyperlink r:id="rId10" w:history="1">
        <w:r w:rsidRPr="00AA7777">
          <w:rPr>
            <w:rStyle w:val="Hyperlink"/>
          </w:rPr>
          <w:t>GS 992X’</w:t>
        </w:r>
      </w:hyperlink>
      <w:r>
        <w:t>. In brief:</w:t>
      </w:r>
    </w:p>
    <w:p w14:paraId="0A42F01B" w14:textId="77777777" w:rsidR="00C261D1" w:rsidRDefault="00067D2A" w:rsidP="00C261D1">
      <w:pPr>
        <w:pStyle w:val="ListParagraph"/>
        <w:numPr>
          <w:ilvl w:val="0"/>
          <w:numId w:val="2"/>
        </w:numPr>
      </w:pPr>
      <w:r>
        <w:t xml:space="preserve">The Bishop can now devolve </w:t>
      </w:r>
      <w:r w:rsidR="00E870FF">
        <w:t>his</w:t>
      </w:r>
      <w:r>
        <w:t>/her</w:t>
      </w:r>
      <w:r w:rsidR="00E870FF">
        <w:t xml:space="preserve"> authority to an Archdeacon</w:t>
      </w:r>
      <w:r>
        <w:t xml:space="preserve"> </w:t>
      </w:r>
      <w:r w:rsidR="00E870FF">
        <w:t xml:space="preserve">or the incumbent of a parish </w:t>
      </w:r>
    </w:p>
    <w:p w14:paraId="4501F641" w14:textId="77777777" w:rsidR="00067D2A" w:rsidRDefault="00067D2A" w:rsidP="00067D2A">
      <w:pPr>
        <w:pStyle w:val="ListParagraph"/>
      </w:pPr>
    </w:p>
    <w:p w14:paraId="7750E929" w14:textId="77777777" w:rsidR="00C261D1" w:rsidRDefault="00C261D1" w:rsidP="00C261D1">
      <w:pPr>
        <w:pStyle w:val="ListParagraph"/>
        <w:numPr>
          <w:ilvl w:val="0"/>
          <w:numId w:val="2"/>
        </w:numPr>
      </w:pPr>
      <w:r>
        <w:t>In a cathedral, the Dean is the authority and the Bishop is not involved.</w:t>
      </w:r>
    </w:p>
    <w:p w14:paraId="760DCA05" w14:textId="77777777" w:rsidR="00067D2A" w:rsidRDefault="00067D2A" w:rsidP="00067D2A">
      <w:pPr>
        <w:pStyle w:val="ListParagraph"/>
      </w:pPr>
    </w:p>
    <w:p w14:paraId="0A0C1309" w14:textId="77777777" w:rsidR="00067D2A" w:rsidRDefault="00E870FF" w:rsidP="00067D2A">
      <w:pPr>
        <w:pStyle w:val="ListParagraph"/>
        <w:numPr>
          <w:ilvl w:val="0"/>
          <w:numId w:val="2"/>
        </w:numPr>
      </w:pPr>
      <w:r>
        <w:t>PCC consent to the names is explicitly required</w:t>
      </w:r>
      <w:r w:rsidR="00C261D1">
        <w:t xml:space="preserve"> (in </w:t>
      </w:r>
      <w:r w:rsidR="00DF327A">
        <w:t>a</w:t>
      </w:r>
      <w:r w:rsidR="00C261D1">
        <w:t xml:space="preserve"> Cathedral, Chapter consent)</w:t>
      </w:r>
    </w:p>
    <w:p w14:paraId="0C43056F" w14:textId="77777777" w:rsidR="00067D2A" w:rsidRDefault="00067D2A" w:rsidP="00067D2A">
      <w:pPr>
        <w:pStyle w:val="ListParagraph"/>
      </w:pPr>
    </w:p>
    <w:p w14:paraId="0234198B" w14:textId="77777777" w:rsidR="00E870FF" w:rsidRDefault="00A81B71" w:rsidP="00E870FF">
      <w:pPr>
        <w:pStyle w:val="ListParagraph"/>
        <w:numPr>
          <w:ilvl w:val="0"/>
          <w:numId w:val="2"/>
        </w:numPr>
      </w:pPr>
      <w:r>
        <w:t xml:space="preserve">the </w:t>
      </w:r>
      <w:r w:rsidR="00E870FF">
        <w:t>named persons must be regular communicants</w:t>
      </w:r>
    </w:p>
    <w:p w14:paraId="23C48F0A" w14:textId="77777777" w:rsidR="00067D2A" w:rsidRDefault="00067D2A" w:rsidP="00067D2A">
      <w:pPr>
        <w:pStyle w:val="ListParagraph"/>
      </w:pPr>
    </w:p>
    <w:p w14:paraId="46B02630" w14:textId="77777777" w:rsidR="00A93C37" w:rsidRPr="00067D2A" w:rsidRDefault="00A93C37" w:rsidP="00E870FF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authorisation </w:t>
      </w:r>
      <w:r w:rsidR="00B00296">
        <w:t>is to be given for assisting in the distributio</w:t>
      </w:r>
      <w:r w:rsidR="00F22701">
        <w:t>n of holy communion within the E</w:t>
      </w:r>
      <w:r w:rsidR="00B00296">
        <w:t>ucharist in church or in addition to distribute communion to the housebound.</w:t>
      </w:r>
    </w:p>
    <w:p w14:paraId="6EB5C8B7" w14:textId="77777777" w:rsidR="00067D2A" w:rsidRPr="00A93C37" w:rsidRDefault="00067D2A" w:rsidP="00067D2A">
      <w:pPr>
        <w:pStyle w:val="ListParagraph"/>
        <w:rPr>
          <w:color w:val="FF0000"/>
        </w:rPr>
      </w:pPr>
    </w:p>
    <w:p w14:paraId="4EE2070C" w14:textId="77777777" w:rsidR="00C261D1" w:rsidRPr="00E824C0" w:rsidRDefault="00F22701" w:rsidP="00E870FF">
      <w:pPr>
        <w:pStyle w:val="ListParagraph"/>
        <w:numPr>
          <w:ilvl w:val="0"/>
          <w:numId w:val="2"/>
        </w:numPr>
      </w:pPr>
      <w:r>
        <w:t>whoever gives</w:t>
      </w:r>
      <w:r w:rsidR="00C261D1">
        <w:t xml:space="preserve"> the authorisations must keep them under review.</w:t>
      </w:r>
      <w:r w:rsidR="00C261D1" w:rsidRPr="00E824C0">
        <w:t xml:space="preserve"> The simplest way to do this is to require them to be</w:t>
      </w:r>
      <w:r w:rsidR="00E824C0" w:rsidRPr="00E824C0">
        <w:t xml:space="preserve"> reviewed and </w:t>
      </w:r>
      <w:r w:rsidR="00C261D1" w:rsidRPr="00E824C0">
        <w:t xml:space="preserve"> renewed every three years</w:t>
      </w:r>
    </w:p>
    <w:p w14:paraId="503526DC" w14:textId="77777777" w:rsidR="00E870FF" w:rsidRDefault="00E870FF" w:rsidP="007E5036">
      <w:r>
        <w:t>For a</w:t>
      </w:r>
      <w:r w:rsidR="00E824C0">
        <w:t xml:space="preserve"> </w:t>
      </w:r>
      <w:r>
        <w:t>child to assist at a service:</w:t>
      </w:r>
    </w:p>
    <w:p w14:paraId="2220950C" w14:textId="77777777" w:rsidR="00E870FF" w:rsidRDefault="00E870FF" w:rsidP="00462B54">
      <w:pPr>
        <w:pStyle w:val="ListParagraph"/>
        <w:numPr>
          <w:ilvl w:val="0"/>
          <w:numId w:val="3"/>
        </w:numPr>
      </w:pPr>
      <w:r>
        <w:t xml:space="preserve">the child must </w:t>
      </w:r>
      <w:r w:rsidR="009C2AC5">
        <w:t xml:space="preserve">either have been confirmed or </w:t>
      </w:r>
      <w:r>
        <w:t>have been admitted to Holy Communion under the 2006 regulations</w:t>
      </w:r>
      <w:r w:rsidR="00067D2A">
        <w:t xml:space="preserve"> for Communion before Confirmation</w:t>
      </w:r>
    </w:p>
    <w:p w14:paraId="5702C001" w14:textId="77777777" w:rsidR="00067D2A" w:rsidRDefault="00067D2A" w:rsidP="00067D2A">
      <w:pPr>
        <w:pStyle w:val="ListParagraph"/>
      </w:pPr>
    </w:p>
    <w:p w14:paraId="1F8CCD9E" w14:textId="77777777" w:rsidR="00E870FF" w:rsidRDefault="00E870FF" w:rsidP="00462B54">
      <w:pPr>
        <w:pStyle w:val="ListParagraph"/>
        <w:numPr>
          <w:ilvl w:val="0"/>
          <w:numId w:val="3"/>
        </w:numPr>
      </w:pPr>
      <w:r>
        <w:t>in a church s</w:t>
      </w:r>
      <w:r w:rsidR="00F22701">
        <w:t>chool setting i.e. at a school E</w:t>
      </w:r>
      <w:r>
        <w:t>ucharist, the Head’s consent is required for a particular pupil to assist</w:t>
      </w:r>
      <w:r w:rsidR="00067D2A">
        <w:t>.</w:t>
      </w:r>
    </w:p>
    <w:p w14:paraId="77B8E569" w14:textId="77777777" w:rsidR="00C60F54" w:rsidRDefault="00C60F54" w:rsidP="00C60F54"/>
    <w:p w14:paraId="0B45E422" w14:textId="77777777" w:rsidR="00E824C0" w:rsidRDefault="00E824C0">
      <w:pPr>
        <w:rPr>
          <w:color w:val="FF0000"/>
        </w:rPr>
      </w:pPr>
      <w:r>
        <w:rPr>
          <w:color w:val="FF0000"/>
        </w:rPr>
        <w:br w:type="page"/>
      </w:r>
    </w:p>
    <w:p w14:paraId="134DB0EA" w14:textId="77777777" w:rsidR="00005ED9" w:rsidRDefault="00235471" w:rsidP="00DF327A">
      <w:pPr>
        <w:rPr>
          <w:b/>
          <w:sz w:val="28"/>
        </w:rPr>
      </w:pPr>
      <w:r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B2245" wp14:editId="430E9E03">
                <wp:simplePos x="0" y="0"/>
                <wp:positionH relativeFrom="column">
                  <wp:posOffset>2724150</wp:posOffset>
                </wp:positionH>
                <wp:positionV relativeFrom="paragraph">
                  <wp:posOffset>3810</wp:posOffset>
                </wp:positionV>
                <wp:extent cx="2952750" cy="1295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FCF4B" w14:textId="77777777" w:rsidR="00235471" w:rsidRPr="00235471" w:rsidRDefault="00235471" w:rsidP="0023547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5471">
                              <w:rPr>
                                <w:b/>
                                <w:sz w:val="28"/>
                              </w:rPr>
                              <w:t xml:space="preserve">The new Communion Regulations </w:t>
                            </w:r>
                          </w:p>
                          <w:p w14:paraId="71204DFB" w14:textId="77777777" w:rsidR="00235471" w:rsidRPr="00235471" w:rsidRDefault="00235471" w:rsidP="0023547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35471">
                              <w:rPr>
                                <w:b/>
                                <w:sz w:val="28"/>
                              </w:rPr>
                              <w:t>Procedure for Parishes</w:t>
                            </w:r>
                          </w:p>
                          <w:p w14:paraId="7F5C78F0" w14:textId="77777777" w:rsidR="00235471" w:rsidRDefault="002354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B22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4.5pt;margin-top:.3pt;width:232.5pt;height:10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8EfQIAAI4FAAAOAAAAZHJzL2Uyb0RvYy54bWysVN1PGzEMf5+0/yHK+7i2KzAqrqgDMU1C&#10;gAYTz2kuoRG5OEvc3nV/PU7u+sHHC9Necnb8s2P/zvbpWVtbtlIhGnAlHx4MOFNOQmXcY8l/319+&#10;+cZZROEqYcGpkq9V5GfTz59OGz9RI1iArVRgFMTFSeNLvkD0k6KIcqFqEQ/AK0dGDaEWSGp4LKog&#10;Gope22I0GBwVDYTKB5AqRrq96Ix8muNrrSTeaB0VMltyyg3zGfI5T2cxPRWTxyD8wsg+DfEPWdTC&#10;OHp0G+pCoGDLYN6Eqo0MEEHjgYS6AK2NVLkGqmY4eFXN3UJ4lWshcqLf0hT/X1h5vbrzt4Fh+x1a&#10;+oGJkMbHSaTLVE+rQ52+lCkjO1G43tKmWmSSLkcnh6PjQzJJsg1JGw8yscXO3YeIPxTULAklD/Rf&#10;Ml1idRWRniToBpJei2BNdWmszUrqBXVuA1sJ+osWc5Lk8QJlHWtKfvSV8ngTIYXe+s+tkE+pzJcR&#10;SLMuearcNX1aOyqyhGurEsa6X0ozU2VG3slRSKncNs+MTihNFX3EscfvsvqIc1cHeeSXweHWuTYO&#10;QsfSS2qrpw21usMTSXt1JxHbedu3yByqNXVOgG6oopeXhoi+EhFvRaApoo6gzYA3dGgL9Heglzhb&#10;QPj73n3CU3OTlbOGprLk8c9SBMWZ/emo7U+G43Ea46yMD49HpIR9y3zf4pb1OVDLDGkHeZnFhEe7&#10;EXWA+oEWyCy9SibhJL1dctyI59jtClpAUs1mGUSD6wVeuTsvU+hEb2qw+/ZBBN83ONJsXMNmfsXk&#10;VZ932OTpYLZE0CYPQSK4Y7UnnoY+92m/oNJW2dczardGp88AAAD//wMAUEsDBBQABgAIAAAAIQBZ&#10;KIQE2wAAAAgBAAAPAAAAZHJzL2Rvd25yZXYueG1sTI8xT8MwFIR3JP6D9ZDYqEMURUnISwWosDDR&#10;ImY3frUtYjuy3TT8e8wE4+lOd9/129VObKEQjXcI95sCGLnRS+MUwsfh5a4BFpNwUkzeEcI3RdgO&#10;11e96KS/uHda9kmxXOJiJxB0SnPHeRw1WRE3fiaXvZMPVqQsg+IyiEsutxMvi6LmVhiXF7SY6VnT&#10;+LU/W4Tdk2rV2Iigd400Zlk/T2/qFfH2Zn18AJZoTX9h+MXP6DBkpqM/OxnZhFCVbf6SEGpg2W7a&#10;KssjQllUNfCh5/8PDD8AAAD//wMAUEsBAi0AFAAGAAgAAAAhALaDOJL+AAAA4QEAABMAAAAAAAAA&#10;AAAAAAAAAAAAAFtDb250ZW50X1R5cGVzXS54bWxQSwECLQAUAAYACAAAACEAOP0h/9YAAACUAQAA&#10;CwAAAAAAAAAAAAAAAAAvAQAAX3JlbHMvLnJlbHNQSwECLQAUAAYACAAAACEAw4dvBH0CAACOBQAA&#10;DgAAAAAAAAAAAAAAAAAuAgAAZHJzL2Uyb0RvYy54bWxQSwECLQAUAAYACAAAACEAWSiEBNsAAAAI&#10;AQAADwAAAAAAAAAAAAAAAADXBAAAZHJzL2Rvd25yZXYueG1sUEsFBgAAAAAEAAQA8wAAAN8FAAAA&#10;AA==&#10;" fillcolor="white [3201]" strokeweight=".5pt">
                <v:textbox>
                  <w:txbxContent>
                    <w:p w14:paraId="3CDFCF4B" w14:textId="77777777" w:rsidR="00235471" w:rsidRPr="00235471" w:rsidRDefault="00235471" w:rsidP="00235471">
                      <w:pPr>
                        <w:rPr>
                          <w:b/>
                          <w:sz w:val="28"/>
                        </w:rPr>
                      </w:pPr>
                      <w:r w:rsidRPr="00235471">
                        <w:rPr>
                          <w:b/>
                          <w:sz w:val="28"/>
                        </w:rPr>
                        <w:t xml:space="preserve">The new Communion Regulations </w:t>
                      </w:r>
                    </w:p>
                    <w:p w14:paraId="71204DFB" w14:textId="77777777" w:rsidR="00235471" w:rsidRPr="00235471" w:rsidRDefault="00235471" w:rsidP="00235471">
                      <w:pPr>
                        <w:rPr>
                          <w:b/>
                          <w:sz w:val="28"/>
                        </w:rPr>
                      </w:pPr>
                      <w:r w:rsidRPr="00235471">
                        <w:rPr>
                          <w:b/>
                          <w:sz w:val="28"/>
                        </w:rPr>
                        <w:t>Procedure for Parishes</w:t>
                      </w:r>
                    </w:p>
                    <w:p w14:paraId="7F5C78F0" w14:textId="77777777" w:rsidR="00235471" w:rsidRDefault="00235471"/>
                  </w:txbxContent>
                </v:textbox>
              </v:shape>
            </w:pict>
          </mc:Fallback>
        </mc:AlternateContent>
      </w:r>
      <w:r w:rsidR="005E7F91">
        <w:rPr>
          <w:b/>
          <w:noProof/>
          <w:sz w:val="28"/>
          <w:lang w:eastAsia="en-GB"/>
        </w:rPr>
        <w:drawing>
          <wp:inline distT="0" distB="0" distL="0" distR="0" wp14:anchorId="22D0B6FA" wp14:editId="3C085F26">
            <wp:extent cx="2043594" cy="129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94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BC34" w14:textId="77777777" w:rsidR="00DF327A" w:rsidRDefault="00DF327A" w:rsidP="00DF327A">
      <w:pPr>
        <w:rPr>
          <w:b/>
        </w:rPr>
      </w:pPr>
      <w:r>
        <w:rPr>
          <w:b/>
        </w:rPr>
        <w:t>1. Selecting persons to assist</w:t>
      </w:r>
    </w:p>
    <w:p w14:paraId="66A8DD65" w14:textId="77777777" w:rsidR="00DF327A" w:rsidRDefault="00067D2A" w:rsidP="00DF327A">
      <w:pPr>
        <w:ind w:left="720"/>
      </w:pPr>
      <w:r>
        <w:t>This is a sensitive and special form of ministry. It is not intended that anyone can volunteer or be press-ganged</w:t>
      </w:r>
      <w:r w:rsidR="002259A9">
        <w:t xml:space="preserve"> just before the service starts.</w:t>
      </w:r>
      <w:r>
        <w:t xml:space="preserve"> The congregation need to be assured that those who distribute</w:t>
      </w:r>
      <w:r w:rsidR="00F22701">
        <w:t xml:space="preserve"> the consecrated</w:t>
      </w:r>
      <w:r>
        <w:t xml:space="preserve"> bread and wine are in good standing and well-prepared for what they do. For that reason, there must be a list of agreed n</w:t>
      </w:r>
      <w:r w:rsidR="005E7F91">
        <w:t>ames for each parish or Mission Community</w:t>
      </w:r>
      <w:r>
        <w:t xml:space="preserve">. </w:t>
      </w:r>
      <w:r w:rsidR="00DF327A" w:rsidRPr="00A96B1E">
        <w:t>The incumbent will usually be the right person to put names forward, bearing in mind</w:t>
      </w:r>
      <w:r w:rsidR="00DF327A">
        <w:t>:</w:t>
      </w:r>
      <w:r w:rsidR="00DF327A" w:rsidRPr="00A96B1E">
        <w:t xml:space="preserve"> </w:t>
      </w:r>
    </w:p>
    <w:p w14:paraId="774268F8" w14:textId="77777777" w:rsidR="00DF327A" w:rsidRPr="00E824C0" w:rsidRDefault="00DF327A" w:rsidP="00DF327A">
      <w:pPr>
        <w:pStyle w:val="ListParagraph"/>
        <w:numPr>
          <w:ilvl w:val="0"/>
          <w:numId w:val="15"/>
        </w:numPr>
      </w:pPr>
      <w:r w:rsidRPr="00DF327A">
        <w:t xml:space="preserve">they must be actual communicants </w:t>
      </w:r>
      <w:r w:rsidR="00E824C0">
        <w:t>themselves. T</w:t>
      </w:r>
      <w:r w:rsidRPr="00E824C0">
        <w:t>he Regulations do not require them to be actual members of the Church of E</w:t>
      </w:r>
      <w:r w:rsidR="00E824C0">
        <w:t>ngland or on the Electoral Roll</w:t>
      </w:r>
    </w:p>
    <w:p w14:paraId="49C1E6E8" w14:textId="77777777" w:rsidR="00DF327A" w:rsidRPr="00A96B1E" w:rsidRDefault="00DF327A" w:rsidP="00DF327A">
      <w:pPr>
        <w:pStyle w:val="ListParagraph"/>
        <w:numPr>
          <w:ilvl w:val="0"/>
          <w:numId w:val="8"/>
        </w:numPr>
        <w:rPr>
          <w:i/>
        </w:rPr>
      </w:pPr>
      <w:r w:rsidRPr="00A96B1E">
        <w:t>they need to be physically able to undertake the task</w:t>
      </w:r>
    </w:p>
    <w:p w14:paraId="2EC43304" w14:textId="77777777" w:rsidR="00DF327A" w:rsidRPr="00C75FFD" w:rsidRDefault="00DF327A" w:rsidP="00DF327A">
      <w:pPr>
        <w:pStyle w:val="ListParagraph"/>
        <w:numPr>
          <w:ilvl w:val="0"/>
          <w:numId w:val="8"/>
        </w:numPr>
        <w:rPr>
          <w:i/>
        </w:rPr>
      </w:pPr>
      <w:r>
        <w:t>they need to be women and men in good standing and in whom the congregation and clergy have confidence</w:t>
      </w:r>
    </w:p>
    <w:p w14:paraId="37E5E709" w14:textId="77777777" w:rsidR="00C75FFD" w:rsidRPr="00A96B1E" w:rsidRDefault="00C75FFD" w:rsidP="00DF327A">
      <w:pPr>
        <w:pStyle w:val="ListParagraph"/>
        <w:numPr>
          <w:ilvl w:val="0"/>
          <w:numId w:val="8"/>
        </w:numPr>
        <w:rPr>
          <w:i/>
        </w:rPr>
      </w:pPr>
      <w:r>
        <w:t>as with any pastoral role, a ‘safe recruitment’ process should be observed</w:t>
      </w:r>
    </w:p>
    <w:p w14:paraId="09DD2229" w14:textId="77777777" w:rsidR="00067D2A" w:rsidRPr="00B00296" w:rsidRDefault="00DF327A" w:rsidP="00067D2A">
      <w:pPr>
        <w:pStyle w:val="ListParagraph"/>
        <w:numPr>
          <w:ilvl w:val="0"/>
          <w:numId w:val="8"/>
        </w:numPr>
        <w:rPr>
          <w:i/>
        </w:rPr>
      </w:pPr>
      <w:r>
        <w:t>they will need to be trained by the incumbent in the practical and pastoral aspects of the role before commencing</w:t>
      </w:r>
    </w:p>
    <w:p w14:paraId="037422DD" w14:textId="77777777" w:rsidR="005E7F91" w:rsidRPr="00B00296" w:rsidRDefault="00DD0D46" w:rsidP="00B00296">
      <w:pPr>
        <w:pStyle w:val="ListParagraph"/>
        <w:numPr>
          <w:ilvl w:val="0"/>
          <w:numId w:val="8"/>
        </w:numPr>
        <w:rPr>
          <w:i/>
        </w:rPr>
      </w:pPr>
      <w:r w:rsidRPr="00067D2A">
        <w:t xml:space="preserve">Authorisation may be granted </w:t>
      </w:r>
      <w:r w:rsidR="00F9216F">
        <w:t>‘</w:t>
      </w:r>
      <w:r w:rsidRPr="00067D2A">
        <w:t>for the purposes of public worship only</w:t>
      </w:r>
      <w:r w:rsidR="00067D2A">
        <w:t>’</w:t>
      </w:r>
      <w:r w:rsidR="00B00296">
        <w:t xml:space="preserve"> or ‘to the housebound</w:t>
      </w:r>
      <w:r w:rsidRPr="00067D2A">
        <w:t xml:space="preserve">. </w:t>
      </w:r>
    </w:p>
    <w:p w14:paraId="196A32F5" w14:textId="77777777" w:rsidR="005E7F91" w:rsidRPr="005E7F91" w:rsidRDefault="005E7F91" w:rsidP="005E7F91">
      <w:pPr>
        <w:pStyle w:val="ListParagraph"/>
        <w:numPr>
          <w:ilvl w:val="0"/>
          <w:numId w:val="8"/>
        </w:numPr>
        <w:rPr>
          <w:i/>
        </w:rPr>
      </w:pPr>
      <w:r>
        <w:t xml:space="preserve">For those who assist at public worship, </w:t>
      </w:r>
      <w:r w:rsidR="00F9216F">
        <w:t xml:space="preserve">and for those who distribute Holy Communion to the housebound, </w:t>
      </w:r>
      <w:r>
        <w:t>authorisation will in future be delegated to the Incumbent and PCC</w:t>
      </w:r>
    </w:p>
    <w:p w14:paraId="1A319D19" w14:textId="77777777" w:rsidR="00B345FF" w:rsidRDefault="005E7F91" w:rsidP="005E7F91">
      <w:pPr>
        <w:pStyle w:val="ListParagraph"/>
        <w:numPr>
          <w:ilvl w:val="0"/>
          <w:numId w:val="8"/>
        </w:numPr>
      </w:pPr>
      <w:r>
        <w:t>F</w:t>
      </w:r>
      <w:r w:rsidR="00067D2A">
        <w:t xml:space="preserve">or those people </w:t>
      </w:r>
      <w:r w:rsidR="002259A9">
        <w:t xml:space="preserve">who will </w:t>
      </w:r>
      <w:r w:rsidR="00DF327A">
        <w:t>take communion to people in their homes there may be safeguarding implications, such as a need to have a clear DBS disclosure.</w:t>
      </w:r>
      <w:r w:rsidR="007A3F3B">
        <w:t xml:space="preserve"> The current advice is that a DBS is not required unless the person is giving other care and support while visiting for home communion, or is visiting weekly or more frequently. If in any doubt, a</w:t>
      </w:r>
      <w:r w:rsidR="00DF327A">
        <w:t xml:space="preserve">dvice </w:t>
      </w:r>
      <w:r w:rsidR="007A3F3B">
        <w:t xml:space="preserve">must </w:t>
      </w:r>
      <w:r w:rsidR="00DF327A">
        <w:t>be sought from the Diocesan Safeguarding Adviser.</w:t>
      </w:r>
    </w:p>
    <w:p w14:paraId="7C64957B" w14:textId="77777777" w:rsidR="006D10B0" w:rsidRDefault="009C2AC5" w:rsidP="005E7F91">
      <w:pPr>
        <w:ind w:left="720"/>
        <w:rPr>
          <w:b/>
        </w:rPr>
      </w:pPr>
      <w:r w:rsidRPr="009C2AC5">
        <w:rPr>
          <w:b/>
        </w:rPr>
        <w:t>Note:</w:t>
      </w:r>
      <w:r>
        <w:t xml:space="preserve"> </w:t>
      </w:r>
      <w:r w:rsidR="00DF327A" w:rsidRPr="00A96B1E">
        <w:t>Readers, as licensed lay ministers do not need to go through this process as they may already assist by virtue of their licence</w:t>
      </w:r>
      <w:r w:rsidR="00B345FF">
        <w:t xml:space="preserve"> and DBS clearance.</w:t>
      </w:r>
      <w:r w:rsidR="006D10B0">
        <w:rPr>
          <w:b/>
        </w:rPr>
        <w:br w:type="page"/>
      </w:r>
    </w:p>
    <w:p w14:paraId="39C781E0" w14:textId="77777777" w:rsidR="00DF327A" w:rsidRPr="00DF327A" w:rsidRDefault="00DF327A" w:rsidP="00DF327A">
      <w:pPr>
        <w:pStyle w:val="ListParagraph"/>
        <w:numPr>
          <w:ilvl w:val="0"/>
          <w:numId w:val="17"/>
        </w:numPr>
        <w:rPr>
          <w:b/>
        </w:rPr>
      </w:pPr>
      <w:r w:rsidRPr="00DF327A">
        <w:rPr>
          <w:b/>
        </w:rPr>
        <w:t>The PCC’s role</w:t>
      </w:r>
    </w:p>
    <w:p w14:paraId="35CE4152" w14:textId="77777777" w:rsidR="00DF327A" w:rsidRDefault="00DF327A" w:rsidP="00DF327A">
      <w:pPr>
        <w:ind w:left="360"/>
      </w:pPr>
      <w:r>
        <w:t>The incumbent should prepare a list of the names and the list should form part of the proposed PCC resolution, circulated with the agenda before a meeting.</w:t>
      </w:r>
    </w:p>
    <w:p w14:paraId="44ACC38D" w14:textId="77777777" w:rsidR="00E824C0" w:rsidRDefault="00DF327A" w:rsidP="00DF327A">
      <w:pPr>
        <w:ind w:left="360"/>
      </w:pPr>
      <w:r>
        <w:t xml:space="preserve">The PCC </w:t>
      </w:r>
      <w:r w:rsidR="00B00296">
        <w:t>should pass a resolution in these</w:t>
      </w:r>
      <w:r>
        <w:t xml:space="preserve"> form</w:t>
      </w:r>
      <w:r w:rsidR="00B00296">
        <w:t>s</w:t>
      </w:r>
      <w:r>
        <w:t xml:space="preserve">: </w:t>
      </w:r>
    </w:p>
    <w:p w14:paraId="32D6CD1E" w14:textId="77777777" w:rsidR="00DF327A" w:rsidRDefault="00DF327A" w:rsidP="002259A9">
      <w:pPr>
        <w:ind w:left="720"/>
        <w:rPr>
          <w:i/>
        </w:rPr>
      </w:pPr>
      <w:r w:rsidRPr="00A96B1E">
        <w:rPr>
          <w:i/>
        </w:rPr>
        <w:t>This PCC</w:t>
      </w:r>
      <w:r>
        <w:rPr>
          <w:i/>
        </w:rPr>
        <w:t xml:space="preserve">, meeting on [date] resolved </w:t>
      </w:r>
      <w:r w:rsidRPr="00A96B1E">
        <w:rPr>
          <w:i/>
        </w:rPr>
        <w:t xml:space="preserve">that [names] </w:t>
      </w:r>
      <w:r>
        <w:rPr>
          <w:i/>
        </w:rPr>
        <w:t xml:space="preserve">, commended by [the incumbent] </w:t>
      </w:r>
      <w:r w:rsidRPr="00A96B1E">
        <w:rPr>
          <w:i/>
        </w:rPr>
        <w:t>should be authorised to assist with the distribution of the Holy Communion</w:t>
      </w:r>
      <w:r w:rsidR="00B00296">
        <w:rPr>
          <w:i/>
        </w:rPr>
        <w:t xml:space="preserve"> within Public Worship</w:t>
      </w:r>
      <w:r w:rsidRPr="00A96B1E">
        <w:rPr>
          <w:i/>
        </w:rPr>
        <w:t xml:space="preserve"> in accordance with the Administration of Communion</w:t>
      </w:r>
      <w:r>
        <w:rPr>
          <w:i/>
        </w:rPr>
        <w:t xml:space="preserve"> Regu</w:t>
      </w:r>
      <w:r w:rsidR="00E824C0">
        <w:rPr>
          <w:i/>
        </w:rPr>
        <w:t>lations 2015 for a period of 3</w:t>
      </w:r>
      <w:r>
        <w:rPr>
          <w:i/>
        </w:rPr>
        <w:t xml:space="preserve"> years.</w:t>
      </w:r>
    </w:p>
    <w:p w14:paraId="7587CA04" w14:textId="77777777" w:rsidR="00B00296" w:rsidRDefault="00B00296" w:rsidP="00F22701">
      <w:pPr>
        <w:ind w:left="720"/>
        <w:rPr>
          <w:i/>
        </w:rPr>
      </w:pPr>
      <w:r w:rsidRPr="00A96B1E">
        <w:rPr>
          <w:i/>
        </w:rPr>
        <w:t>This PCC</w:t>
      </w:r>
      <w:r>
        <w:rPr>
          <w:i/>
        </w:rPr>
        <w:t>, meeting on [</w:t>
      </w:r>
      <w:r w:rsidR="00F22701">
        <w:rPr>
          <w:i/>
        </w:rPr>
        <w:t>date] requests</w:t>
      </w:r>
      <w:r>
        <w:rPr>
          <w:i/>
        </w:rPr>
        <w:t xml:space="preserve"> </w:t>
      </w:r>
      <w:r w:rsidRPr="00A96B1E">
        <w:rPr>
          <w:i/>
        </w:rPr>
        <w:t xml:space="preserve">that [names] </w:t>
      </w:r>
      <w:r>
        <w:rPr>
          <w:i/>
        </w:rPr>
        <w:t xml:space="preserve">, commended by [the incumbent] </w:t>
      </w:r>
      <w:r w:rsidRPr="00A96B1E">
        <w:rPr>
          <w:i/>
        </w:rPr>
        <w:t>should be authorised</w:t>
      </w:r>
      <w:r w:rsidR="00F9216F">
        <w:rPr>
          <w:i/>
        </w:rPr>
        <w:t xml:space="preserve"> </w:t>
      </w:r>
      <w:r w:rsidRPr="00A96B1E">
        <w:rPr>
          <w:i/>
        </w:rPr>
        <w:t>to assist with the distribution of the Holy Communion</w:t>
      </w:r>
      <w:r>
        <w:rPr>
          <w:i/>
        </w:rPr>
        <w:t xml:space="preserve"> to the housebound </w:t>
      </w:r>
      <w:r w:rsidRPr="00A96B1E">
        <w:rPr>
          <w:i/>
        </w:rPr>
        <w:t>in accordance with the Administration of Communion</w:t>
      </w:r>
      <w:r>
        <w:rPr>
          <w:i/>
        </w:rPr>
        <w:t xml:space="preserve"> Regulations 2015 for a period of 3 years</w:t>
      </w:r>
    </w:p>
    <w:p w14:paraId="755DFEA6" w14:textId="77777777" w:rsidR="00DF327A" w:rsidRDefault="00DF327A" w:rsidP="00DF327A">
      <w:pPr>
        <w:ind w:left="360"/>
      </w:pPr>
      <w:r w:rsidRPr="009C2AC5">
        <w:rPr>
          <w:b/>
        </w:rPr>
        <w:t>Note:</w:t>
      </w:r>
      <w:r>
        <w:t xml:space="preserve"> Incumbents and PCCs should be aware that assisting with Communion under these regulations does </w:t>
      </w:r>
      <w:r w:rsidRPr="005E7F91">
        <w:rPr>
          <w:b/>
        </w:rPr>
        <w:t>not</w:t>
      </w:r>
      <w:r>
        <w:t xml:space="preserve"> permit the persons named to conduct a service of Holy Communion by Extension. This is governed by its own regulations, and such services may only be conducted by a Reader.</w:t>
      </w:r>
    </w:p>
    <w:p w14:paraId="31FF289B" w14:textId="77777777" w:rsidR="0085570C" w:rsidRDefault="005E7F91" w:rsidP="005E7F91">
      <w:pPr>
        <w:ind w:left="360"/>
      </w:pPr>
      <w:r>
        <w:t>It is recommended that after three years th</w:t>
      </w:r>
      <w:r w:rsidR="00B00296">
        <w:t>ose authorised should seek a renewal of this permission</w:t>
      </w:r>
      <w:r>
        <w:t xml:space="preserve">.  </w:t>
      </w:r>
    </w:p>
    <w:p w14:paraId="24C5975B" w14:textId="77777777" w:rsidR="0085570C" w:rsidRDefault="0085570C" w:rsidP="0085570C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Involving children</w:t>
      </w:r>
    </w:p>
    <w:p w14:paraId="4B4C37C1" w14:textId="77777777" w:rsidR="0085570C" w:rsidRDefault="0085570C" w:rsidP="0085570C">
      <w:pPr>
        <w:ind w:left="360"/>
      </w:pPr>
      <w:r>
        <w:t xml:space="preserve">Involving children in assisting with chalice or paten will not be appropriate in every church, but in parishes with a strong children and young people’s ministry, or with a church school, there may well be </w:t>
      </w:r>
      <w:r w:rsidR="009D0AA7">
        <w:t>situations where</w:t>
      </w:r>
      <w:r>
        <w:t xml:space="preserve"> the incumbent and PCC would wish to involve them in this way. </w:t>
      </w:r>
    </w:p>
    <w:p w14:paraId="4603BBB5" w14:textId="77777777" w:rsidR="004C4584" w:rsidRPr="00067D2A" w:rsidRDefault="004C4584" w:rsidP="004C4584">
      <w:pPr>
        <w:ind w:left="360"/>
      </w:pPr>
      <w:r>
        <w:t>C</w:t>
      </w:r>
      <w:r w:rsidRPr="00067D2A">
        <w:t xml:space="preserve">hildren should be authorised only </w:t>
      </w:r>
      <w:r>
        <w:t>‘</w:t>
      </w:r>
      <w:r w:rsidRPr="00067D2A">
        <w:t>for public worship</w:t>
      </w:r>
      <w:r>
        <w:t>’</w:t>
      </w:r>
      <w:r w:rsidRPr="00067D2A">
        <w:t xml:space="preserve"> and not </w:t>
      </w:r>
      <w:r w:rsidR="009C2AC5">
        <w:t>‘generally’ (</w:t>
      </w:r>
      <w:r w:rsidRPr="00067D2A">
        <w:t>for home communions</w:t>
      </w:r>
      <w:r w:rsidR="009C2AC5">
        <w:t>)</w:t>
      </w:r>
      <w:r w:rsidRPr="00067D2A">
        <w:t xml:space="preserve">, to minimise safeguarding risks. </w:t>
      </w:r>
    </w:p>
    <w:p w14:paraId="1844EB5E" w14:textId="77777777" w:rsidR="0085570C" w:rsidRDefault="0085570C" w:rsidP="0085570C">
      <w:pPr>
        <w:ind w:left="360"/>
      </w:pPr>
      <w:r w:rsidRPr="009C2AC5">
        <w:rPr>
          <w:b/>
        </w:rPr>
        <w:t>In church</w:t>
      </w:r>
      <w:r>
        <w:t xml:space="preserve">, </w:t>
      </w:r>
    </w:p>
    <w:p w14:paraId="27063C1B" w14:textId="77777777" w:rsidR="0085570C" w:rsidRDefault="0085570C" w:rsidP="0085570C">
      <w:pPr>
        <w:pStyle w:val="ListParagraph"/>
        <w:numPr>
          <w:ilvl w:val="0"/>
          <w:numId w:val="21"/>
        </w:numPr>
      </w:pPr>
      <w:r>
        <w:t xml:space="preserve">only children who are </w:t>
      </w:r>
      <w:r w:rsidR="009D0AA7">
        <w:t>on the parish’s list may assist</w:t>
      </w:r>
    </w:p>
    <w:p w14:paraId="353CB22C" w14:textId="77777777" w:rsidR="0085570C" w:rsidRPr="0085570C" w:rsidRDefault="0085570C" w:rsidP="0085570C">
      <w:pPr>
        <w:pStyle w:val="ListParagraph"/>
        <w:numPr>
          <w:ilvl w:val="0"/>
          <w:numId w:val="21"/>
        </w:numPr>
        <w:rPr>
          <w:b/>
        </w:rPr>
      </w:pPr>
      <w:r>
        <w:t xml:space="preserve">unconfirmed </w:t>
      </w:r>
      <w:r w:rsidRPr="00C60F54">
        <w:t>children admitted to Communion</w:t>
      </w:r>
      <w:r>
        <w:t xml:space="preserve"> under the relevant regulations </w:t>
      </w:r>
      <w:r w:rsidRPr="00C60F54">
        <w:t>may be put on the list</w:t>
      </w:r>
      <w:r>
        <w:t xml:space="preserve"> </w:t>
      </w:r>
    </w:p>
    <w:p w14:paraId="748C1E12" w14:textId="77777777" w:rsidR="0085570C" w:rsidRDefault="0085570C" w:rsidP="0085570C">
      <w:pPr>
        <w:pStyle w:val="ListParagraph"/>
        <w:rPr>
          <w:b/>
        </w:rPr>
      </w:pPr>
    </w:p>
    <w:p w14:paraId="3E6A7B72" w14:textId="77777777" w:rsidR="0085570C" w:rsidRPr="00A3282E" w:rsidRDefault="0085570C" w:rsidP="0085570C">
      <w:pPr>
        <w:pStyle w:val="ListParagraph"/>
        <w:ind w:left="360"/>
        <w:rPr>
          <w:i/>
          <w:color w:val="FF0000"/>
        </w:rPr>
      </w:pPr>
      <w:r w:rsidRPr="009C2AC5">
        <w:rPr>
          <w:b/>
        </w:rPr>
        <w:t>In a school setting</w:t>
      </w:r>
      <w:r>
        <w:t>, u</w:t>
      </w:r>
      <w:r w:rsidRPr="00A3282E">
        <w:t>nder these Regulations a pupil in a church school may, with the Head Teacher</w:t>
      </w:r>
      <w:r>
        <w:t>’</w:t>
      </w:r>
      <w:r w:rsidRPr="00A3282E">
        <w:t>s permission</w:t>
      </w:r>
      <w:r>
        <w:t xml:space="preserve"> and with the assent of the priest</w:t>
      </w:r>
      <w:r w:rsidRPr="00A3282E">
        <w:t>, assist in distributing the sacrament a</w:t>
      </w:r>
      <w:r>
        <w:t>t</w:t>
      </w:r>
      <w:r w:rsidRPr="00A3282E">
        <w:t xml:space="preserve"> a school</w:t>
      </w:r>
      <w:r w:rsidR="00F22701">
        <w:t xml:space="preserve"> E</w:t>
      </w:r>
      <w:r>
        <w:t>ucharist held in the school or in church.</w:t>
      </w:r>
    </w:p>
    <w:p w14:paraId="160E9544" w14:textId="77777777" w:rsidR="00DF327A" w:rsidRDefault="00DF327A" w:rsidP="00DF327A">
      <w:pPr>
        <w:ind w:left="360"/>
        <w:rPr>
          <w:b/>
        </w:rPr>
      </w:pPr>
    </w:p>
    <w:p w14:paraId="488104CE" w14:textId="77777777" w:rsidR="00B00296" w:rsidRDefault="00B00296" w:rsidP="00DF327A">
      <w:pPr>
        <w:ind w:left="360"/>
        <w:rPr>
          <w:b/>
        </w:rPr>
      </w:pPr>
    </w:p>
    <w:p w14:paraId="18A22808" w14:textId="77777777" w:rsidR="00B00296" w:rsidRDefault="00B00296" w:rsidP="00DF327A">
      <w:pPr>
        <w:ind w:left="360"/>
        <w:rPr>
          <w:b/>
        </w:rPr>
      </w:pPr>
    </w:p>
    <w:p w14:paraId="1FE6828A" w14:textId="77777777" w:rsidR="00DF327A" w:rsidRDefault="00DF327A" w:rsidP="00DF327A">
      <w:pPr>
        <w:pStyle w:val="ListParagraph"/>
        <w:numPr>
          <w:ilvl w:val="0"/>
          <w:numId w:val="17"/>
        </w:numPr>
        <w:rPr>
          <w:b/>
        </w:rPr>
      </w:pPr>
      <w:r w:rsidRPr="00A93C37">
        <w:rPr>
          <w:b/>
        </w:rPr>
        <w:t>Record-keeping</w:t>
      </w:r>
    </w:p>
    <w:p w14:paraId="692AB47C" w14:textId="77777777" w:rsidR="00A627A4" w:rsidRPr="00A93C37" w:rsidRDefault="00A627A4" w:rsidP="00A627A4">
      <w:pPr>
        <w:pStyle w:val="ListParagraph"/>
        <w:ind w:left="360"/>
        <w:rPr>
          <w:b/>
        </w:rPr>
      </w:pPr>
    </w:p>
    <w:p w14:paraId="265AD669" w14:textId="77777777" w:rsidR="00DF327A" w:rsidRDefault="005E7F91" w:rsidP="00DF327A">
      <w:pPr>
        <w:pStyle w:val="ListParagraph"/>
        <w:numPr>
          <w:ilvl w:val="0"/>
          <w:numId w:val="18"/>
        </w:numPr>
      </w:pPr>
      <w:r>
        <w:t xml:space="preserve">A record </w:t>
      </w:r>
      <w:r w:rsidR="00DF327A">
        <w:t>should be kept in the parish office that indicates:</w:t>
      </w:r>
    </w:p>
    <w:p w14:paraId="05E03A10" w14:textId="77777777" w:rsidR="00DF327A" w:rsidRDefault="00DF327A" w:rsidP="00DF327A">
      <w:pPr>
        <w:pStyle w:val="ListParagraph"/>
        <w:numPr>
          <w:ilvl w:val="0"/>
          <w:numId w:val="19"/>
        </w:numPr>
      </w:pPr>
      <w:r>
        <w:t>names of persons being authorised (preferably with their address)</w:t>
      </w:r>
    </w:p>
    <w:p w14:paraId="062028F8" w14:textId="77777777" w:rsidR="00DF327A" w:rsidRDefault="00DF327A" w:rsidP="00DF327A">
      <w:pPr>
        <w:pStyle w:val="ListParagraph"/>
        <w:numPr>
          <w:ilvl w:val="0"/>
          <w:numId w:val="19"/>
        </w:numPr>
      </w:pPr>
      <w:r>
        <w:t>date on which PCC/Chapter resolution commending them was passed</w:t>
      </w:r>
    </w:p>
    <w:p w14:paraId="1AD06B91" w14:textId="77777777" w:rsidR="00DF327A" w:rsidRDefault="00DF327A" w:rsidP="00DF327A">
      <w:pPr>
        <w:pStyle w:val="ListParagraph"/>
        <w:numPr>
          <w:ilvl w:val="0"/>
          <w:numId w:val="19"/>
        </w:numPr>
      </w:pPr>
      <w:r>
        <w:t>date on which authorisation expires</w:t>
      </w:r>
    </w:p>
    <w:p w14:paraId="48BB595D" w14:textId="77777777" w:rsidR="00DF327A" w:rsidRDefault="00DF327A" w:rsidP="00DF327A">
      <w:pPr>
        <w:pStyle w:val="ListParagraph"/>
        <w:ind w:left="1080"/>
      </w:pPr>
    </w:p>
    <w:p w14:paraId="56602DC2" w14:textId="77777777" w:rsidR="00DF327A" w:rsidRDefault="00DF327A" w:rsidP="00DF327A">
      <w:pPr>
        <w:pStyle w:val="ListParagraph"/>
        <w:numPr>
          <w:ilvl w:val="0"/>
          <w:numId w:val="18"/>
        </w:numPr>
      </w:pPr>
      <w:r>
        <w:t>It would be good practice to publish the list of names in the church magazine, pew sheet or website when they are first authorised.</w:t>
      </w:r>
      <w:r w:rsidRPr="00A93C37">
        <w:t xml:space="preserve"> </w:t>
      </w:r>
    </w:p>
    <w:p w14:paraId="42C857AC" w14:textId="77777777" w:rsidR="00DF327A" w:rsidRDefault="00DF327A" w:rsidP="00DF327A">
      <w:pPr>
        <w:pStyle w:val="ListParagraph"/>
      </w:pPr>
    </w:p>
    <w:p w14:paraId="1AD8466A" w14:textId="77777777" w:rsidR="00B345FF" w:rsidRDefault="00DF327A" w:rsidP="00DF327A">
      <w:pPr>
        <w:pStyle w:val="ListParagraph"/>
        <w:numPr>
          <w:ilvl w:val="0"/>
          <w:numId w:val="18"/>
        </w:numPr>
      </w:pPr>
      <w:r>
        <w:t>To avoid any possible misu</w:t>
      </w:r>
      <w:r w:rsidR="00F76316">
        <w:t xml:space="preserve">nderstandings, a </w:t>
      </w:r>
      <w:r>
        <w:t>notice should be posted in the vestry giving the current list of those authorised to assist.</w:t>
      </w:r>
      <w:r w:rsidR="00B345FF" w:rsidRPr="00B345FF">
        <w:t xml:space="preserve"> </w:t>
      </w:r>
    </w:p>
    <w:p w14:paraId="76121DAE" w14:textId="77777777" w:rsidR="00B345FF" w:rsidRDefault="00B345FF" w:rsidP="00B345FF">
      <w:pPr>
        <w:pStyle w:val="ListParagraph"/>
      </w:pPr>
    </w:p>
    <w:p w14:paraId="30099FDC" w14:textId="77777777" w:rsidR="00B345FF" w:rsidRPr="00B345FF" w:rsidRDefault="00B345FF" w:rsidP="00DD0D46">
      <w:pPr>
        <w:pStyle w:val="ListParagraph"/>
        <w:numPr>
          <w:ilvl w:val="0"/>
          <w:numId w:val="18"/>
        </w:numPr>
        <w:rPr>
          <w:rFonts w:ascii="Tahoma" w:hAnsi="Tahoma" w:cs="Tahoma"/>
          <w:color w:val="1F497D"/>
        </w:rPr>
      </w:pPr>
      <w:r w:rsidRPr="00B345FF">
        <w:t>Incumbents and priests-in-charge will be asked to complete</w:t>
      </w:r>
      <w:r>
        <w:t xml:space="preserve"> </w:t>
      </w:r>
      <w:r w:rsidRPr="00B345FF">
        <w:t xml:space="preserve">an annual return of those authorised in their parish church(es), and in church schools in their parishes and to send it back to the </w:t>
      </w:r>
      <w:r w:rsidR="00F76316">
        <w:t xml:space="preserve">Suffragan </w:t>
      </w:r>
      <w:r w:rsidRPr="00B345FF">
        <w:t>Bishop</w:t>
      </w:r>
      <w:r w:rsidR="00F76316">
        <w:t>’</w:t>
      </w:r>
      <w:r w:rsidRPr="00B345FF">
        <w:t xml:space="preserve">s </w:t>
      </w:r>
      <w:r>
        <w:t>O</w:t>
      </w:r>
      <w:r w:rsidRPr="00B345FF">
        <w:t>ffice.</w:t>
      </w:r>
      <w:r>
        <w:t xml:space="preserve"> </w:t>
      </w:r>
    </w:p>
    <w:p w14:paraId="7C469A4D" w14:textId="77777777" w:rsidR="00B345FF" w:rsidRDefault="00B345FF" w:rsidP="00B345FF">
      <w:pPr>
        <w:pStyle w:val="ListParagraph"/>
      </w:pPr>
    </w:p>
    <w:p w14:paraId="3B9A84F1" w14:textId="77777777" w:rsidR="00DD0D46" w:rsidRPr="00B345FF" w:rsidRDefault="00A627A4" w:rsidP="00DD0D46">
      <w:pPr>
        <w:pStyle w:val="ListParagraph"/>
        <w:numPr>
          <w:ilvl w:val="0"/>
          <w:numId w:val="18"/>
        </w:numPr>
        <w:rPr>
          <w:rFonts w:ascii="Tahoma" w:hAnsi="Tahoma" w:cs="Tahoma"/>
          <w:color w:val="1F497D"/>
        </w:rPr>
      </w:pPr>
      <w:r>
        <w:t xml:space="preserve">As part of </w:t>
      </w:r>
      <w:r w:rsidRPr="00A627A4">
        <w:t>keeping authorisations under review, t</w:t>
      </w:r>
      <w:r w:rsidR="00DF327A" w:rsidRPr="00A627A4">
        <w:t>he record-keeping should be open to inspection</w:t>
      </w:r>
      <w:r w:rsidRPr="00A627A4">
        <w:t xml:space="preserve"> by t</w:t>
      </w:r>
      <w:r w:rsidR="00DF327A" w:rsidRPr="00A627A4">
        <w:t xml:space="preserve">he Rural Dean, </w:t>
      </w:r>
      <w:r w:rsidRPr="00A627A4">
        <w:t>and</w:t>
      </w:r>
      <w:r w:rsidR="00DF327A" w:rsidRPr="00A627A4">
        <w:t xml:space="preserve"> Archdeacons might require it as part of </w:t>
      </w:r>
      <w:r w:rsidR="00B345FF">
        <w:t>their Visitation process.</w:t>
      </w:r>
    </w:p>
    <w:p w14:paraId="31EAECE4" w14:textId="77777777" w:rsidR="00DF327A" w:rsidRPr="00166FAD" w:rsidRDefault="00DF327A" w:rsidP="00B345FF">
      <w:pPr>
        <w:pStyle w:val="ListParagraph"/>
        <w:rPr>
          <w:color w:val="FF0000"/>
        </w:rPr>
      </w:pPr>
    </w:p>
    <w:p w14:paraId="1C8EAA6A" w14:textId="77777777" w:rsidR="0085570C" w:rsidRDefault="0085570C" w:rsidP="0085570C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W</w:t>
      </w:r>
      <w:r w:rsidRPr="0085570C">
        <w:rPr>
          <w:b/>
        </w:rPr>
        <w:t>hat a parish needs to do now</w:t>
      </w:r>
    </w:p>
    <w:p w14:paraId="282C7834" w14:textId="77777777" w:rsidR="002259A9" w:rsidRDefault="00F76316" w:rsidP="00F9216F">
      <w:pPr>
        <w:pStyle w:val="ListParagraph"/>
        <w:numPr>
          <w:ilvl w:val="0"/>
          <w:numId w:val="26"/>
        </w:numPr>
      </w:pPr>
      <w:r>
        <w:t xml:space="preserve">The Bishops have decided that in future authorisation for the distribution of </w:t>
      </w:r>
      <w:r w:rsidR="00F9216F">
        <w:t>Holy C</w:t>
      </w:r>
      <w:r w:rsidR="00B00296">
        <w:t xml:space="preserve">ommunion </w:t>
      </w:r>
      <w:r>
        <w:t>in public worship</w:t>
      </w:r>
      <w:r w:rsidR="00F9216F">
        <w:t xml:space="preserve"> and to the housebound</w:t>
      </w:r>
      <w:r>
        <w:t xml:space="preserve"> will be delegated to the Incumbent and PCC and will be for three years.  .</w:t>
      </w:r>
    </w:p>
    <w:p w14:paraId="4D0C389C" w14:textId="77777777" w:rsidR="008E11C9" w:rsidRDefault="00F9216F" w:rsidP="001354BE">
      <w:pPr>
        <w:ind w:left="720" w:hanging="360"/>
      </w:pPr>
      <w:r>
        <w:t>b</w:t>
      </w:r>
      <w:r w:rsidR="008E11C9">
        <w:t xml:space="preserve">) </w:t>
      </w:r>
      <w:r w:rsidR="001354BE">
        <w:tab/>
      </w:r>
      <w:r w:rsidR="008E11C9">
        <w:t>Each PCC should follow the procedure in sections 2-4 in respect of those authorised for (</w:t>
      </w:r>
      <w:proofErr w:type="spellStart"/>
      <w:r w:rsidR="00B00296">
        <w:t>i</w:t>
      </w:r>
      <w:proofErr w:type="spellEnd"/>
      <w:r w:rsidR="00B00296">
        <w:t>) public worship (ii) to the housebound</w:t>
      </w:r>
      <w:r w:rsidR="008E11C9">
        <w:t>.</w:t>
      </w:r>
    </w:p>
    <w:p w14:paraId="22AA8AB7" w14:textId="77777777" w:rsidR="004C4584" w:rsidRDefault="004C4584"/>
    <w:sectPr w:rsidR="004C4584" w:rsidSect="00472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E77A" w14:textId="77777777" w:rsidR="00367B80" w:rsidRDefault="00367B80" w:rsidP="00C261D1">
      <w:pPr>
        <w:spacing w:after="0" w:line="240" w:lineRule="auto"/>
      </w:pPr>
      <w:r>
        <w:separator/>
      </w:r>
    </w:p>
  </w:endnote>
  <w:endnote w:type="continuationSeparator" w:id="0">
    <w:p w14:paraId="725DB5C5" w14:textId="77777777" w:rsidR="00367B80" w:rsidRDefault="00367B80" w:rsidP="00C2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2527" w14:textId="77777777" w:rsidR="00AA7777" w:rsidRDefault="00AA7777" w:rsidP="00FF25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6B0FE7" w14:textId="77777777" w:rsidR="00AA7777" w:rsidRDefault="00AA7777" w:rsidP="00FF25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0954" w14:textId="77777777" w:rsidR="00AA7777" w:rsidRDefault="00AA7777" w:rsidP="00FF25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7D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4096F0" w14:textId="77777777" w:rsidR="00AA7777" w:rsidRDefault="00A42F4A" w:rsidP="00FF2500">
    <w:pPr>
      <w:pStyle w:val="Footer"/>
      <w:ind w:right="360"/>
    </w:pPr>
    <w:r>
      <w:t>N</w:t>
    </w:r>
    <w:r w:rsidR="00166FC7">
      <w:t>otes for parishes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9851" w14:textId="77777777" w:rsidR="00367B80" w:rsidRDefault="00367B80" w:rsidP="00C261D1">
      <w:pPr>
        <w:spacing w:after="0" w:line="240" w:lineRule="auto"/>
      </w:pPr>
      <w:r>
        <w:separator/>
      </w:r>
    </w:p>
  </w:footnote>
  <w:footnote w:type="continuationSeparator" w:id="0">
    <w:p w14:paraId="3BA5EB35" w14:textId="77777777" w:rsidR="00367B80" w:rsidRDefault="00367B80" w:rsidP="00C2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20E2" w14:textId="77777777" w:rsidR="00AA7777" w:rsidRDefault="00367B80">
    <w:pPr>
      <w:pStyle w:val="Header"/>
    </w:pPr>
    <w:r>
      <w:rPr>
        <w:noProof/>
      </w:rPr>
      <w:pict w14:anchorId="711E92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54.5pt;height:18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5EA8" w14:textId="77777777" w:rsidR="00AA7777" w:rsidRDefault="00AA7777" w:rsidP="002B7CE7">
    <w:pPr>
      <w:pStyle w:val="Header"/>
      <w:tabs>
        <w:tab w:val="clear" w:pos="4513"/>
        <w:tab w:val="clear" w:pos="9026"/>
        <w:tab w:val="left" w:pos="1122"/>
      </w:tabs>
    </w:pPr>
    <w:r>
      <w:tab/>
    </w:r>
  </w:p>
  <w:p w14:paraId="3C782B5F" w14:textId="77777777" w:rsidR="00AA7777" w:rsidRDefault="00AA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30B8" w14:textId="77777777" w:rsidR="00166FC7" w:rsidRDefault="0016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C0F"/>
    <w:multiLevelType w:val="hybridMultilevel"/>
    <w:tmpl w:val="01D0D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43ADB"/>
    <w:multiLevelType w:val="hybridMultilevel"/>
    <w:tmpl w:val="A29CE6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2CD2"/>
    <w:multiLevelType w:val="hybridMultilevel"/>
    <w:tmpl w:val="46BE7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DC9"/>
    <w:multiLevelType w:val="hybridMultilevel"/>
    <w:tmpl w:val="B3B49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F530E"/>
    <w:multiLevelType w:val="hybridMultilevel"/>
    <w:tmpl w:val="D4F07520"/>
    <w:lvl w:ilvl="0" w:tplc="065E9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1D0D"/>
    <w:multiLevelType w:val="hybridMultilevel"/>
    <w:tmpl w:val="63120BC0"/>
    <w:lvl w:ilvl="0" w:tplc="D6E47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7F8"/>
    <w:multiLevelType w:val="hybridMultilevel"/>
    <w:tmpl w:val="73641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B4B65"/>
    <w:multiLevelType w:val="hybridMultilevel"/>
    <w:tmpl w:val="56927F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CB7397"/>
    <w:multiLevelType w:val="hybridMultilevel"/>
    <w:tmpl w:val="7A601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874EB"/>
    <w:multiLevelType w:val="hybridMultilevel"/>
    <w:tmpl w:val="6FF6A5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26F9C"/>
    <w:multiLevelType w:val="hybridMultilevel"/>
    <w:tmpl w:val="095C6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62968"/>
    <w:multiLevelType w:val="hybridMultilevel"/>
    <w:tmpl w:val="C114D430"/>
    <w:lvl w:ilvl="0" w:tplc="DC1A51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0B4E"/>
    <w:multiLevelType w:val="hybridMultilevel"/>
    <w:tmpl w:val="B522639E"/>
    <w:lvl w:ilvl="0" w:tplc="D6E47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C2D82"/>
    <w:multiLevelType w:val="hybridMultilevel"/>
    <w:tmpl w:val="F9F8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151A1"/>
    <w:multiLevelType w:val="hybridMultilevel"/>
    <w:tmpl w:val="BEB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053CA2"/>
    <w:multiLevelType w:val="hybridMultilevel"/>
    <w:tmpl w:val="9976EB4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C4987"/>
    <w:multiLevelType w:val="hybridMultilevel"/>
    <w:tmpl w:val="800859FC"/>
    <w:lvl w:ilvl="0" w:tplc="A0DC7F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61738"/>
    <w:multiLevelType w:val="hybridMultilevel"/>
    <w:tmpl w:val="2EC227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DD3C63"/>
    <w:multiLevelType w:val="hybridMultilevel"/>
    <w:tmpl w:val="BD96D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3A3C03"/>
    <w:multiLevelType w:val="hybridMultilevel"/>
    <w:tmpl w:val="53FA340C"/>
    <w:lvl w:ilvl="0" w:tplc="065E99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F79B6"/>
    <w:multiLevelType w:val="hybridMultilevel"/>
    <w:tmpl w:val="7DBC27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93910"/>
    <w:multiLevelType w:val="hybridMultilevel"/>
    <w:tmpl w:val="D07E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879"/>
    <w:multiLevelType w:val="hybridMultilevel"/>
    <w:tmpl w:val="C012F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608B6"/>
    <w:multiLevelType w:val="hybridMultilevel"/>
    <w:tmpl w:val="CD082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637EE"/>
    <w:multiLevelType w:val="hybridMultilevel"/>
    <w:tmpl w:val="AA40F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961E0"/>
    <w:multiLevelType w:val="hybridMultilevel"/>
    <w:tmpl w:val="3D46096A"/>
    <w:lvl w:ilvl="0" w:tplc="D6E4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668552">
    <w:abstractNumId w:val="8"/>
  </w:num>
  <w:num w:numId="2" w16cid:durableId="1450971138">
    <w:abstractNumId w:val="16"/>
  </w:num>
  <w:num w:numId="3" w16cid:durableId="158271992">
    <w:abstractNumId w:val="9"/>
  </w:num>
  <w:num w:numId="4" w16cid:durableId="400568490">
    <w:abstractNumId w:val="21"/>
  </w:num>
  <w:num w:numId="5" w16cid:durableId="286858359">
    <w:abstractNumId w:val="7"/>
  </w:num>
  <w:num w:numId="6" w16cid:durableId="1150370870">
    <w:abstractNumId w:val="4"/>
  </w:num>
  <w:num w:numId="7" w16cid:durableId="715202605">
    <w:abstractNumId w:val="12"/>
  </w:num>
  <w:num w:numId="8" w16cid:durableId="1407338767">
    <w:abstractNumId w:val="17"/>
  </w:num>
  <w:num w:numId="9" w16cid:durableId="1608927188">
    <w:abstractNumId w:val="10"/>
  </w:num>
  <w:num w:numId="10" w16cid:durableId="1400591721">
    <w:abstractNumId w:val="25"/>
  </w:num>
  <w:num w:numId="11" w16cid:durableId="1116366640">
    <w:abstractNumId w:val="5"/>
  </w:num>
  <w:num w:numId="12" w16cid:durableId="1604262647">
    <w:abstractNumId w:val="20"/>
  </w:num>
  <w:num w:numId="13" w16cid:durableId="615061820">
    <w:abstractNumId w:val="6"/>
  </w:num>
  <w:num w:numId="14" w16cid:durableId="880483216">
    <w:abstractNumId w:val="14"/>
  </w:num>
  <w:num w:numId="15" w16cid:durableId="1256330884">
    <w:abstractNumId w:val="18"/>
  </w:num>
  <w:num w:numId="16" w16cid:durableId="247228913">
    <w:abstractNumId w:val="15"/>
  </w:num>
  <w:num w:numId="17" w16cid:durableId="1369794048">
    <w:abstractNumId w:val="19"/>
  </w:num>
  <w:num w:numId="18" w16cid:durableId="686906296">
    <w:abstractNumId w:val="11"/>
  </w:num>
  <w:num w:numId="19" w16cid:durableId="175658746">
    <w:abstractNumId w:val="3"/>
  </w:num>
  <w:num w:numId="20" w16cid:durableId="872428197">
    <w:abstractNumId w:val="22"/>
  </w:num>
  <w:num w:numId="21" w16cid:durableId="2063600240">
    <w:abstractNumId w:val="0"/>
  </w:num>
  <w:num w:numId="22" w16cid:durableId="574047348">
    <w:abstractNumId w:val="13"/>
  </w:num>
  <w:num w:numId="23" w16cid:durableId="987050307">
    <w:abstractNumId w:val="2"/>
  </w:num>
  <w:num w:numId="24" w16cid:durableId="753822119">
    <w:abstractNumId w:val="24"/>
  </w:num>
  <w:num w:numId="25" w16cid:durableId="1982344311">
    <w:abstractNumId w:val="23"/>
  </w:num>
  <w:num w:numId="26" w16cid:durableId="41845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036"/>
    <w:rsid w:val="00005ED9"/>
    <w:rsid w:val="0004133A"/>
    <w:rsid w:val="00067D2A"/>
    <w:rsid w:val="00074C9F"/>
    <w:rsid w:val="001354BE"/>
    <w:rsid w:val="00166FAD"/>
    <w:rsid w:val="00166FC7"/>
    <w:rsid w:val="00177DFF"/>
    <w:rsid w:val="002259A9"/>
    <w:rsid w:val="00235471"/>
    <w:rsid w:val="002B7CE7"/>
    <w:rsid w:val="00367751"/>
    <w:rsid w:val="00367B80"/>
    <w:rsid w:val="00462B54"/>
    <w:rsid w:val="00472927"/>
    <w:rsid w:val="00493B6D"/>
    <w:rsid w:val="004C4584"/>
    <w:rsid w:val="00511FAB"/>
    <w:rsid w:val="005157D2"/>
    <w:rsid w:val="00547D23"/>
    <w:rsid w:val="005A176C"/>
    <w:rsid w:val="005E7F91"/>
    <w:rsid w:val="00674B31"/>
    <w:rsid w:val="00694258"/>
    <w:rsid w:val="006C1588"/>
    <w:rsid w:val="006D10B0"/>
    <w:rsid w:val="00776A53"/>
    <w:rsid w:val="007A3F3B"/>
    <w:rsid w:val="007E5036"/>
    <w:rsid w:val="008513FC"/>
    <w:rsid w:val="0085570C"/>
    <w:rsid w:val="00896D54"/>
    <w:rsid w:val="008D6EC7"/>
    <w:rsid w:val="008E11C9"/>
    <w:rsid w:val="009A057A"/>
    <w:rsid w:val="009C2AC5"/>
    <w:rsid w:val="009D0AA7"/>
    <w:rsid w:val="00A12342"/>
    <w:rsid w:val="00A3282E"/>
    <w:rsid w:val="00A42F4A"/>
    <w:rsid w:val="00A627A4"/>
    <w:rsid w:val="00A81B71"/>
    <w:rsid w:val="00A93C37"/>
    <w:rsid w:val="00A96B1E"/>
    <w:rsid w:val="00AA7777"/>
    <w:rsid w:val="00AD71AB"/>
    <w:rsid w:val="00B00296"/>
    <w:rsid w:val="00B345FF"/>
    <w:rsid w:val="00B84025"/>
    <w:rsid w:val="00BA4EB6"/>
    <w:rsid w:val="00C261D1"/>
    <w:rsid w:val="00C60F54"/>
    <w:rsid w:val="00C75FFD"/>
    <w:rsid w:val="00DD0D46"/>
    <w:rsid w:val="00DF327A"/>
    <w:rsid w:val="00E14C14"/>
    <w:rsid w:val="00E824C0"/>
    <w:rsid w:val="00E870FF"/>
    <w:rsid w:val="00F22701"/>
    <w:rsid w:val="00F23553"/>
    <w:rsid w:val="00F265EE"/>
    <w:rsid w:val="00F76316"/>
    <w:rsid w:val="00F9216F"/>
    <w:rsid w:val="00FB0023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154CD"/>
  <w15:docId w15:val="{06F7B884-594D-4542-8CAC-C4B0EDB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B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D6E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7E5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1D1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C26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1D1"/>
    <w:rPr>
      <w:rFonts w:ascii="Franklin Gothic Book" w:hAnsi="Franklin Gothic Book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FF2500"/>
  </w:style>
  <w:style w:type="paragraph" w:styleId="NoSpacing">
    <w:name w:val="No Spacing"/>
    <w:uiPriority w:val="1"/>
    <w:qFormat/>
    <w:rsid w:val="00DF327A"/>
    <w:pPr>
      <w:spacing w:after="0" w:line="240" w:lineRule="auto"/>
    </w:pPr>
  </w:style>
  <w:style w:type="table" w:styleId="TableGrid">
    <w:name w:val="Table Grid"/>
    <w:basedOn w:val="TableNormal"/>
    <w:uiPriority w:val="59"/>
    <w:rsid w:val="00896D54"/>
    <w:pPr>
      <w:spacing w:after="0" w:line="240" w:lineRule="auto"/>
    </w:pPr>
    <w:rPr>
      <w:rFonts w:ascii="Franklin Gothic Book" w:eastAsia="Times New Roman" w:hAnsi="Franklin Gothic Book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7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hurchofengland.org/media/2248949/gs%201992x%20-%20administration%20of%20holy%20communion%20regulations%20explanatory%20memorandu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urchofengland.org/media/2248936/gs%201992%20-%20holy%20communion%20regulation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CFCA-EDAD-4519-A9E2-C01F120F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1286</Words>
  <Characters>6415</Characters>
  <Application>Microsoft Office Word</Application>
  <DocSecurity>0</DocSecurity>
  <Lines>158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Bishop's Chaplain</dc:creator>
  <cp:lastModifiedBy>Rebecca Paveley</cp:lastModifiedBy>
  <cp:revision>2</cp:revision>
  <cp:lastPrinted>2016-06-07T13:34:00Z</cp:lastPrinted>
  <dcterms:created xsi:type="dcterms:W3CDTF">2016-11-14T11:03:00Z</dcterms:created>
  <dcterms:modified xsi:type="dcterms:W3CDTF">2016-11-14T11:03:00Z</dcterms:modified>
</cp:coreProperties>
</file>